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38" w:rsidRDefault="009D4638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9D4638" w:rsidRDefault="005D5169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年度体育彩票公益金资助项目</w:t>
      </w:r>
    </w:p>
    <w:p w:rsidR="009D4638" w:rsidRDefault="005D5169" w:rsidP="00112421">
      <w:pPr>
        <w:spacing w:line="578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宣传公告</w:t>
      </w:r>
    </w:p>
    <w:p w:rsidR="009D4638" w:rsidRPr="00243C6E" w:rsidRDefault="00243C6E" w:rsidP="00243C6E">
      <w:pPr>
        <w:widowControl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/>
          <w:szCs w:val="32"/>
        </w:rPr>
      </w:pPr>
      <w:r w:rsidRPr="00243C6E">
        <w:rPr>
          <w:rFonts w:ascii="方正黑体_GBK" w:eastAsia="方正黑体_GBK" w:hAnsi="Times New Roman" w:hint="eastAsia"/>
          <w:szCs w:val="32"/>
        </w:rPr>
        <w:t xml:space="preserve">一、 </w:t>
      </w:r>
      <w:r w:rsidR="005D5169" w:rsidRPr="00243C6E">
        <w:rPr>
          <w:rFonts w:ascii="方正黑体_GBK" w:eastAsia="方正黑体_GBK" w:hAnsi="Times New Roman" w:hint="eastAsia"/>
          <w:szCs w:val="32"/>
        </w:rPr>
        <w:t>公益金资助项目信息公布情况</w:t>
      </w:r>
    </w:p>
    <w:p w:rsidR="009D4638" w:rsidRDefault="005D5169" w:rsidP="00243C6E">
      <w:pPr>
        <w:widowControl/>
        <w:adjustRightInd w:val="0"/>
        <w:snapToGrid w:val="0"/>
        <w:spacing w:line="580" w:lineRule="exact"/>
        <w:ind w:firstLineChars="200" w:firstLine="640"/>
        <w:rPr>
          <w:rFonts w:ascii="方正楷体_GBK" w:eastAsia="方正楷体_GBK" w:hAnsi="Times New Roman"/>
          <w:color w:val="000000" w:themeColor="text1"/>
          <w:kern w:val="0"/>
          <w:szCs w:val="32"/>
        </w:rPr>
      </w:pPr>
      <w:r>
        <w:rPr>
          <w:rFonts w:ascii="方正楷体_GBK" w:eastAsia="方正楷体_GBK" w:hAnsi="Times New Roman" w:hint="eastAsia"/>
          <w:color w:val="000000" w:themeColor="text1"/>
          <w:kern w:val="0"/>
          <w:szCs w:val="32"/>
        </w:rPr>
        <w:t>（一）项目概况</w:t>
      </w:r>
    </w:p>
    <w:p w:rsidR="00112421" w:rsidRPr="00243C6E" w:rsidRDefault="005D5169" w:rsidP="00243C6E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1.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项目名称：</w:t>
      </w:r>
      <w:r w:rsidR="00112421"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公共体育场馆免费对外开放补助及</w:t>
      </w:r>
    </w:p>
    <w:p w:rsidR="00112421" w:rsidRPr="00243C6E" w:rsidRDefault="00112421" w:rsidP="00243C6E">
      <w:pPr>
        <w:spacing w:line="580" w:lineRule="exact"/>
        <w:ind w:firstLineChars="950" w:firstLine="3040"/>
        <w:rPr>
          <w:rFonts w:ascii="Times New Roman" w:eastAsia="方正仿宋_GBK" w:hAnsi="Times New Roman"/>
          <w:color w:val="000000" w:themeColor="text1"/>
          <w:kern w:val="0"/>
          <w:szCs w:val="32"/>
        </w:rPr>
      </w:pP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奥体中心运营补助经费</w:t>
      </w:r>
    </w:p>
    <w:p w:rsidR="009D4638" w:rsidRPr="00243C6E" w:rsidRDefault="005D5169" w:rsidP="00243C6E">
      <w:pPr>
        <w:spacing w:line="580" w:lineRule="exact"/>
        <w:ind w:firstLineChars="200" w:firstLine="640"/>
        <w:rPr>
          <w:rFonts w:ascii="Times New Roman" w:eastAsia="方正仿宋_GBK" w:hAnsi="Times New Roman"/>
          <w:bCs/>
          <w:color w:val="000000" w:themeColor="text1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2.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项目单位：宿迁市</w:t>
      </w:r>
      <w:r w:rsidR="00112421"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体育局</w:t>
      </w:r>
    </w:p>
    <w:p w:rsidR="009D4638" w:rsidRPr="00243C6E" w:rsidRDefault="005D5169" w:rsidP="00243C6E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3.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项目</w:t>
      </w:r>
      <w:r w:rsidR="00112421"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总额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：</w:t>
      </w:r>
      <w:r w:rsidR="00112421"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599.99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万元</w:t>
      </w:r>
    </w:p>
    <w:p w:rsidR="009D4638" w:rsidRPr="00243C6E" w:rsidRDefault="005D5169" w:rsidP="00243C6E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4.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项目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时间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：</w:t>
      </w:r>
      <w:r w:rsidRPr="00243C6E">
        <w:rPr>
          <w:rFonts w:ascii="Times New Roman" w:eastAsia="方正仿宋_GBK" w:hAnsi="Times New Roman"/>
          <w:szCs w:val="32"/>
        </w:rPr>
        <w:t>2023</w:t>
      </w:r>
      <w:r w:rsidR="00112421" w:rsidRPr="00243C6E">
        <w:rPr>
          <w:rFonts w:ascii="Times New Roman" w:eastAsia="方正仿宋_GBK" w:hAnsi="Times New Roman"/>
          <w:szCs w:val="32"/>
        </w:rPr>
        <w:t>年</w:t>
      </w:r>
      <w:r w:rsidRPr="00243C6E">
        <w:rPr>
          <w:rFonts w:ascii="Times New Roman" w:eastAsia="方正仿宋_GBK" w:hAnsi="Times New Roman"/>
          <w:szCs w:val="32"/>
        </w:rPr>
        <w:t>全年</w:t>
      </w:r>
    </w:p>
    <w:p w:rsidR="009D4638" w:rsidRPr="00243C6E" w:rsidRDefault="005D5169" w:rsidP="00243C6E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5.</w:t>
      </w:r>
      <w:r w:rsidRPr="00243C6E">
        <w:rPr>
          <w:rFonts w:ascii="Times New Roman" w:eastAsia="方正仿宋_GBK" w:hAnsi="Times New Roman"/>
          <w:szCs w:val="32"/>
        </w:rPr>
        <w:t>项目联络人</w:t>
      </w:r>
      <w:r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：</w:t>
      </w:r>
      <w:r w:rsidRPr="00243C6E">
        <w:rPr>
          <w:rFonts w:ascii="Times New Roman" w:eastAsia="方正仿宋_GBK" w:hAnsi="Times New Roman"/>
          <w:szCs w:val="32"/>
        </w:rPr>
        <w:t>张鹏</w:t>
      </w:r>
    </w:p>
    <w:p w:rsidR="009D4638" w:rsidRPr="00243C6E" w:rsidRDefault="005D5169" w:rsidP="00243C6E">
      <w:pPr>
        <w:widowControl/>
        <w:shd w:val="clear" w:color="auto" w:fill="FFFFFF"/>
        <w:spacing w:line="580" w:lineRule="exact"/>
        <w:ind w:firstLineChars="200" w:firstLine="640"/>
        <w:rPr>
          <w:rFonts w:ascii="方正楷体_GBK" w:eastAsia="方正楷体_GBK" w:hAnsi="Times New Roman" w:hint="eastAsia"/>
          <w:szCs w:val="32"/>
        </w:rPr>
      </w:pPr>
      <w:r w:rsidRPr="00243C6E">
        <w:rPr>
          <w:rFonts w:ascii="方正楷体_GBK" w:eastAsia="方正楷体_GBK" w:hAnsi="Times New Roman" w:hint="eastAsia"/>
          <w:szCs w:val="32"/>
        </w:rPr>
        <w:t>（二）公益金资助项目使用效果</w:t>
      </w:r>
    </w:p>
    <w:p w:rsidR="009D4638" w:rsidRPr="00243C6E" w:rsidRDefault="005D5169" w:rsidP="00243C6E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243C6E">
        <w:rPr>
          <w:rFonts w:ascii="Times New Roman" w:eastAsia="方正仿宋_GBK" w:hAnsi="Times New Roman"/>
          <w:szCs w:val="32"/>
        </w:rPr>
        <w:t>1</w:t>
      </w:r>
      <w:r w:rsidRPr="00243C6E">
        <w:rPr>
          <w:rFonts w:ascii="Times New Roman" w:eastAsia="方正仿宋_GBK" w:hAnsi="Times New Roman"/>
          <w:szCs w:val="32"/>
        </w:rPr>
        <w:t>．公益金资助项目的社会效益总体描述。</w:t>
      </w:r>
    </w:p>
    <w:p w:rsidR="00112421" w:rsidRPr="00243C6E" w:rsidRDefault="00112421" w:rsidP="00243C6E">
      <w:pPr>
        <w:widowControl/>
        <w:shd w:val="clear" w:color="auto" w:fill="FFFFFF"/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szCs w:val="32"/>
        </w:rPr>
        <w:t>维持奥体中心场馆的正常运转和秩序，保障场馆公共设施设备完好，提升群众满意度。</w:t>
      </w:r>
    </w:p>
    <w:p w:rsidR="009D4638" w:rsidRPr="00243C6E" w:rsidRDefault="005D5169" w:rsidP="00243C6E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243C6E">
        <w:rPr>
          <w:rFonts w:ascii="Times New Roman" w:eastAsia="方正仿宋_GBK" w:hAnsi="Times New Roman"/>
          <w:szCs w:val="32"/>
        </w:rPr>
        <w:t>2</w:t>
      </w:r>
      <w:r w:rsidRPr="00243C6E">
        <w:rPr>
          <w:rFonts w:ascii="Times New Roman" w:eastAsia="方正仿宋_GBK" w:hAnsi="Times New Roman"/>
          <w:szCs w:val="32"/>
        </w:rPr>
        <w:t>．项目具体实施内容及达到的效果描述。</w:t>
      </w:r>
    </w:p>
    <w:p w:rsidR="00112421" w:rsidRPr="00243C6E" w:rsidRDefault="00112421" w:rsidP="00243C6E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szCs w:val="32"/>
        </w:rPr>
        <w:t>项目共有</w:t>
      </w:r>
      <w:r w:rsidRPr="00243C6E">
        <w:rPr>
          <w:rFonts w:ascii="Times New Roman" w:eastAsia="方正仿宋_GBK" w:hAnsi="Times New Roman"/>
          <w:color w:val="000000" w:themeColor="text1"/>
          <w:szCs w:val="32"/>
        </w:rPr>
        <w:t>1</w:t>
      </w:r>
      <w:r w:rsidRPr="00243C6E">
        <w:rPr>
          <w:rFonts w:ascii="Times New Roman" w:eastAsia="方正仿宋_GBK" w:hAnsi="Times New Roman"/>
          <w:color w:val="000000" w:themeColor="text1"/>
          <w:szCs w:val="32"/>
        </w:rPr>
        <w:t>项内容，为</w:t>
      </w:r>
      <w:r w:rsidR="00243C6E">
        <w:rPr>
          <w:rFonts w:ascii="Times New Roman" w:eastAsia="方正仿宋_GBK" w:hAnsi="Times New Roman" w:hint="eastAsia"/>
          <w:color w:val="000000" w:themeColor="text1"/>
          <w:szCs w:val="32"/>
        </w:rPr>
        <w:t>保障</w:t>
      </w:r>
      <w:r w:rsidRPr="00243C6E">
        <w:rPr>
          <w:rFonts w:ascii="Times New Roman" w:eastAsia="方正仿宋_GBK" w:hAnsi="Times New Roman"/>
          <w:color w:val="000000" w:themeColor="text1"/>
          <w:szCs w:val="32"/>
        </w:rPr>
        <w:t>奥体中心</w:t>
      </w:r>
      <w:r w:rsidR="00243C6E">
        <w:rPr>
          <w:rFonts w:ascii="Times New Roman" w:eastAsia="方正仿宋_GBK" w:hAnsi="Times New Roman" w:hint="eastAsia"/>
          <w:color w:val="000000" w:themeColor="text1"/>
          <w:szCs w:val="32"/>
        </w:rPr>
        <w:t>正常</w:t>
      </w:r>
      <w:r w:rsidRPr="00243C6E">
        <w:rPr>
          <w:rFonts w:ascii="Times New Roman" w:eastAsia="方正仿宋_GBK" w:hAnsi="Times New Roman"/>
          <w:color w:val="000000" w:themeColor="text1"/>
          <w:szCs w:val="32"/>
        </w:rPr>
        <w:t>运营补助</w:t>
      </w:r>
      <w:r w:rsidR="00243C6E">
        <w:rPr>
          <w:rFonts w:ascii="Times New Roman" w:eastAsia="方正仿宋_GBK" w:hAnsi="Times New Roman" w:hint="eastAsia"/>
          <w:color w:val="000000" w:themeColor="text1"/>
          <w:szCs w:val="32"/>
        </w:rPr>
        <w:t>经费</w:t>
      </w:r>
      <w:r w:rsidRPr="00243C6E">
        <w:rPr>
          <w:rFonts w:ascii="Times New Roman" w:eastAsia="方正仿宋_GBK" w:hAnsi="Times New Roman"/>
          <w:color w:val="000000" w:themeColor="text1"/>
          <w:szCs w:val="32"/>
        </w:rPr>
        <w:t>。</w:t>
      </w:r>
    </w:p>
    <w:p w:rsidR="009D4638" w:rsidRPr="00243C6E" w:rsidRDefault="00112421" w:rsidP="00243C6E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szCs w:val="32"/>
        </w:rPr>
      </w:pP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通过该项目的有序实施和大力宣传，实现了</w:t>
      </w:r>
      <w:r w:rsidRPr="00243C6E">
        <w:rPr>
          <w:rFonts w:ascii="Times New Roman" w:eastAsia="方正仿宋_GBK" w:hAnsi="Times New Roman"/>
          <w:color w:val="000000" w:themeColor="text1"/>
          <w:szCs w:val="32"/>
        </w:rPr>
        <w:t>奥体中心场馆的正常运转</w:t>
      </w: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，</w:t>
      </w:r>
      <w:r w:rsidRPr="00243C6E">
        <w:rPr>
          <w:rFonts w:ascii="Times New Roman" w:eastAsia="方正仿宋_GBK" w:hAnsi="Times New Roman"/>
          <w:color w:val="000000" w:themeColor="text1"/>
          <w:szCs w:val="32"/>
        </w:rPr>
        <w:t>更好的满足了群众丰富多样的健身需求</w:t>
      </w: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，进一步提升了体育彩票</w:t>
      </w: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“</w:t>
      </w: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公益彩票，乐善人生</w:t>
      </w: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”</w:t>
      </w:r>
      <w:r w:rsidRPr="00243C6E">
        <w:rPr>
          <w:rFonts w:ascii="Times New Roman" w:eastAsia="方正仿宋_GBK" w:hAnsi="Times New Roman"/>
          <w:color w:val="000000" w:themeColor="text1"/>
          <w:kern w:val="0"/>
          <w:szCs w:val="32"/>
        </w:rPr>
        <w:t>的良好公益形象。</w:t>
      </w:r>
    </w:p>
    <w:p w:rsidR="009D4638" w:rsidRDefault="005D5169" w:rsidP="00243C6E">
      <w:pPr>
        <w:widowControl/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/>
          <w:szCs w:val="32"/>
        </w:rPr>
      </w:pPr>
      <w:r>
        <w:rPr>
          <w:rFonts w:ascii="方正黑体_GBK" w:eastAsia="方正黑体_GBK" w:hAnsi="Times New Roman" w:hint="eastAsia"/>
          <w:szCs w:val="32"/>
        </w:rPr>
        <w:t>二、资助项目宣传工作开展情况</w:t>
      </w:r>
    </w:p>
    <w:p w:rsidR="009D4638" w:rsidRPr="00243C6E" w:rsidRDefault="005D5169" w:rsidP="00243C6E">
      <w:pPr>
        <w:spacing w:line="580" w:lineRule="exact"/>
        <w:ind w:firstLineChars="200" w:firstLine="640"/>
        <w:rPr>
          <w:rFonts w:ascii="Times New Roman" w:eastAsia="方正仿宋_GBK" w:hAnsi="Times New Roman"/>
          <w:color w:val="000000" w:themeColor="text1"/>
          <w:kern w:val="0"/>
          <w:szCs w:val="32"/>
        </w:rPr>
      </w:pPr>
      <w:r w:rsidRPr="00243C6E">
        <w:rPr>
          <w:rFonts w:ascii="Times New Roman" w:eastAsia="方正仿宋_GBK" w:hAnsi="Times New Roman"/>
          <w:szCs w:val="32"/>
        </w:rPr>
        <w:t>2023</w:t>
      </w:r>
      <w:r w:rsidRPr="00243C6E">
        <w:rPr>
          <w:rFonts w:ascii="Times New Roman" w:eastAsia="方正仿宋_GBK" w:hAnsi="Times New Roman"/>
          <w:szCs w:val="32"/>
        </w:rPr>
        <w:t>年</w:t>
      </w:r>
      <w:r w:rsidR="00112421" w:rsidRPr="00243C6E">
        <w:rPr>
          <w:rFonts w:ascii="Times New Roman" w:eastAsia="方正仿宋_GBK" w:hAnsi="方正仿宋_GBK"/>
          <w:color w:val="000000" w:themeColor="text1"/>
          <w:kern w:val="0"/>
          <w:szCs w:val="32"/>
        </w:rPr>
        <w:t>公共体育场馆免费对外开放补助及奥体中心运营补助经费</w:t>
      </w:r>
      <w:r w:rsidRPr="00243C6E">
        <w:rPr>
          <w:rFonts w:ascii="Times New Roman" w:eastAsia="方正仿宋_GBK" w:hAnsi="Times New Roman"/>
          <w:szCs w:val="32"/>
        </w:rPr>
        <w:t>项目预算金额</w:t>
      </w:r>
      <w:r w:rsidRPr="00243C6E">
        <w:rPr>
          <w:rFonts w:ascii="Times New Roman" w:eastAsia="方正仿宋_GBK" w:hAnsi="Times New Roman"/>
          <w:szCs w:val="32"/>
        </w:rPr>
        <w:t>600</w:t>
      </w:r>
      <w:r w:rsidRPr="00243C6E">
        <w:rPr>
          <w:rFonts w:ascii="Times New Roman" w:eastAsia="方正仿宋_GBK" w:hAnsi="Times New Roman"/>
          <w:szCs w:val="32"/>
        </w:rPr>
        <w:t>万元，本年度支出</w:t>
      </w:r>
      <w:r w:rsidR="00112421" w:rsidRPr="00243C6E">
        <w:rPr>
          <w:rFonts w:ascii="Times New Roman" w:eastAsia="方正仿宋_GBK" w:hAnsi="Times New Roman"/>
          <w:szCs w:val="32"/>
        </w:rPr>
        <w:t>599.99</w:t>
      </w:r>
      <w:r w:rsidRPr="00243C6E">
        <w:rPr>
          <w:rFonts w:ascii="Times New Roman" w:eastAsia="方正仿宋_GBK" w:hAnsi="Times New Roman"/>
          <w:szCs w:val="32"/>
        </w:rPr>
        <w:t>万元，主要用于</w:t>
      </w:r>
      <w:r w:rsidR="00112421" w:rsidRPr="00243C6E">
        <w:rPr>
          <w:rFonts w:ascii="Times New Roman" w:eastAsia="方正仿宋_GBK" w:hAnsi="Times New Roman"/>
          <w:bCs/>
          <w:color w:val="000000" w:themeColor="text1"/>
          <w:szCs w:val="32"/>
        </w:rPr>
        <w:t>奥体中心体育场馆维修维护、水电费、能源消耗、</w:t>
      </w:r>
      <w:r w:rsidR="00112421" w:rsidRPr="00243C6E">
        <w:rPr>
          <w:rFonts w:ascii="Times New Roman" w:eastAsia="方正仿宋_GBK" w:hAnsi="Times New Roman"/>
          <w:bCs/>
          <w:color w:val="000000" w:themeColor="text1"/>
          <w:szCs w:val="32"/>
        </w:rPr>
        <w:lastRenderedPageBreak/>
        <w:t>场馆运营管理。项目通过现场宣传的方式对彩票公益金进行宣传，具体包括</w:t>
      </w:r>
      <w:r w:rsidRPr="00243C6E">
        <w:rPr>
          <w:rFonts w:ascii="Times New Roman" w:eastAsia="方正仿宋_GBK" w:hAnsi="Times New Roman"/>
          <w:szCs w:val="32"/>
        </w:rPr>
        <w:t>：</w:t>
      </w:r>
      <w:r w:rsidRPr="00243C6E">
        <w:rPr>
          <w:rFonts w:ascii="Times New Roman" w:eastAsia="方正仿宋_GBK" w:hAnsi="Times New Roman"/>
          <w:szCs w:val="32"/>
        </w:rPr>
        <w:t>在奥体中心场地入口处制作</w:t>
      </w:r>
      <w:r w:rsidR="00112421" w:rsidRPr="00243C6E">
        <w:rPr>
          <w:rFonts w:ascii="Times New Roman" w:eastAsia="方正仿宋_GBK" w:hAnsi="Times New Roman"/>
          <w:szCs w:val="32"/>
        </w:rPr>
        <w:t>公益金资助</w:t>
      </w:r>
      <w:r w:rsidRPr="00243C6E">
        <w:rPr>
          <w:rFonts w:ascii="Times New Roman" w:eastAsia="方正仿宋_GBK" w:hAnsi="Times New Roman"/>
          <w:szCs w:val="32"/>
        </w:rPr>
        <w:t>公告牌</w:t>
      </w:r>
      <w:r w:rsidRPr="00243C6E">
        <w:rPr>
          <w:rFonts w:ascii="Times New Roman" w:eastAsia="方正仿宋_GBK" w:hAnsi="Times New Roman"/>
          <w:szCs w:val="32"/>
        </w:rPr>
        <w:t>、</w:t>
      </w:r>
      <w:r w:rsidR="00112421" w:rsidRPr="00243C6E">
        <w:rPr>
          <w:rFonts w:ascii="Times New Roman" w:eastAsia="方正仿宋_GBK" w:hAnsi="Times New Roman"/>
          <w:szCs w:val="32"/>
        </w:rPr>
        <w:t>游泳</w:t>
      </w:r>
      <w:r w:rsidRPr="00243C6E">
        <w:rPr>
          <w:rFonts w:ascii="Times New Roman" w:eastAsia="方正仿宋_GBK" w:hAnsi="Times New Roman"/>
          <w:szCs w:val="32"/>
        </w:rPr>
        <w:t>馆内</w:t>
      </w:r>
      <w:r w:rsidR="00243C6E" w:rsidRPr="00243C6E">
        <w:rPr>
          <w:rFonts w:ascii="Times New Roman" w:eastAsia="方正仿宋_GBK" w:hAnsi="Times New Roman"/>
          <w:szCs w:val="32"/>
        </w:rPr>
        <w:t>标识</w:t>
      </w:r>
      <w:r w:rsidR="00112421" w:rsidRPr="00243C6E">
        <w:rPr>
          <w:rFonts w:ascii="Times New Roman" w:eastAsia="方正仿宋_GBK" w:hAnsi="Times New Roman"/>
          <w:szCs w:val="32"/>
        </w:rPr>
        <w:t>牌显示体彩</w:t>
      </w:r>
      <w:r w:rsidR="00112421" w:rsidRPr="00243C6E">
        <w:rPr>
          <w:rFonts w:ascii="Times New Roman" w:eastAsia="方正仿宋_GBK" w:hAnsi="Times New Roman"/>
          <w:szCs w:val="32"/>
        </w:rPr>
        <w:t>logo</w:t>
      </w:r>
      <w:r w:rsidRPr="00243C6E">
        <w:rPr>
          <w:rFonts w:ascii="Times New Roman" w:eastAsia="方正仿宋_GBK" w:hAnsi="Times New Roman"/>
          <w:szCs w:val="32"/>
        </w:rPr>
        <w:t>、奥体中心</w:t>
      </w:r>
      <w:r w:rsidRPr="00243C6E">
        <w:rPr>
          <w:rFonts w:ascii="Times New Roman" w:eastAsia="方正仿宋_GBK" w:hAnsi="Times New Roman"/>
          <w:szCs w:val="32"/>
        </w:rPr>
        <w:t>承办的</w:t>
      </w:r>
      <w:r w:rsidR="00112421" w:rsidRPr="00243C6E">
        <w:rPr>
          <w:rFonts w:ascii="Times New Roman" w:eastAsia="方正仿宋_GBK" w:hAnsi="Times New Roman"/>
          <w:szCs w:val="32"/>
        </w:rPr>
        <w:t>体彩</w:t>
      </w:r>
      <w:r w:rsidR="00243C6E">
        <w:rPr>
          <w:rFonts w:ascii="Times New Roman" w:eastAsia="方正仿宋_GBK" w:hAnsi="Times New Roman" w:hint="eastAsia"/>
          <w:szCs w:val="32"/>
        </w:rPr>
        <w:t>公益金</w:t>
      </w:r>
      <w:r w:rsidR="00112421" w:rsidRPr="00243C6E">
        <w:rPr>
          <w:rFonts w:ascii="Times New Roman" w:eastAsia="方正仿宋_GBK" w:hAnsi="Times New Roman"/>
          <w:szCs w:val="32"/>
        </w:rPr>
        <w:t>资助的</w:t>
      </w:r>
      <w:r w:rsidRPr="00243C6E">
        <w:rPr>
          <w:rFonts w:ascii="Times New Roman" w:eastAsia="方正仿宋_GBK" w:hAnsi="Times New Roman"/>
          <w:szCs w:val="32"/>
        </w:rPr>
        <w:t>体育赛事</w:t>
      </w:r>
      <w:r w:rsidR="00243C6E">
        <w:rPr>
          <w:rFonts w:ascii="Times New Roman" w:eastAsia="方正仿宋_GBK" w:hAnsi="Times New Roman" w:hint="eastAsia"/>
          <w:szCs w:val="32"/>
        </w:rPr>
        <w:t>活动</w:t>
      </w:r>
      <w:r w:rsidR="00112421" w:rsidRPr="00243C6E">
        <w:rPr>
          <w:rFonts w:ascii="Times New Roman" w:eastAsia="方正仿宋_GBK" w:hAnsi="Times New Roman"/>
          <w:szCs w:val="32"/>
        </w:rPr>
        <w:t>时</w:t>
      </w:r>
      <w:r w:rsidR="00243C6E">
        <w:rPr>
          <w:rFonts w:ascii="Times New Roman" w:eastAsia="方正仿宋_GBK" w:hAnsi="Times New Roman" w:hint="eastAsia"/>
          <w:szCs w:val="32"/>
        </w:rPr>
        <w:t>在背景及</w:t>
      </w:r>
      <w:r w:rsidR="00243C6E" w:rsidRPr="00243C6E">
        <w:rPr>
          <w:rFonts w:ascii="Times New Roman" w:eastAsia="方正仿宋_GBK" w:hAnsi="Times New Roman"/>
          <w:szCs w:val="32"/>
        </w:rPr>
        <w:t>横幅</w:t>
      </w:r>
      <w:r w:rsidR="00243C6E">
        <w:rPr>
          <w:rFonts w:ascii="Times New Roman" w:eastAsia="方正仿宋_GBK" w:hAnsi="Times New Roman" w:hint="eastAsia"/>
          <w:szCs w:val="32"/>
        </w:rPr>
        <w:t>体现</w:t>
      </w:r>
      <w:r w:rsidR="00243C6E" w:rsidRPr="00243C6E">
        <w:rPr>
          <w:rFonts w:ascii="Times New Roman" w:eastAsia="方正仿宋_GBK" w:hAnsi="Times New Roman"/>
          <w:szCs w:val="32"/>
        </w:rPr>
        <w:t>体彩</w:t>
      </w:r>
      <w:r w:rsidR="00243C6E" w:rsidRPr="00243C6E">
        <w:rPr>
          <w:rFonts w:ascii="Times New Roman" w:eastAsia="方正仿宋_GBK" w:hAnsi="Times New Roman"/>
          <w:szCs w:val="32"/>
        </w:rPr>
        <w:t>logo</w:t>
      </w:r>
      <w:r w:rsidRPr="00243C6E">
        <w:rPr>
          <w:rFonts w:ascii="Times New Roman" w:eastAsia="方正仿宋_GBK" w:hAnsi="Times New Roman"/>
          <w:szCs w:val="32"/>
        </w:rPr>
        <w:t>。</w:t>
      </w:r>
    </w:p>
    <w:p w:rsidR="009D4638" w:rsidRPr="00243C6E" w:rsidRDefault="005D5169" w:rsidP="00243C6E">
      <w:pPr>
        <w:widowControl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Cs w:val="32"/>
        </w:rPr>
      </w:pPr>
      <w:r w:rsidRPr="00243C6E">
        <w:rPr>
          <w:rFonts w:ascii="Times New Roman" w:eastAsia="方正仿宋_GBK" w:hAnsi="Times New Roman"/>
          <w:szCs w:val="32"/>
        </w:rPr>
        <w:t>图片及影像资料等信息。</w:t>
      </w:r>
    </w:p>
    <w:p w:rsidR="00112421" w:rsidRDefault="00112421" w:rsidP="00243C6E">
      <w:pPr>
        <w:widowControl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Times New Roman"/>
          <w:szCs w:val="32"/>
        </w:rPr>
      </w:pPr>
    </w:p>
    <w:p w:rsidR="009D4638" w:rsidRDefault="005D5169">
      <w:pPr>
        <w:widowControl/>
        <w:adjustRightInd w:val="0"/>
        <w:snapToGrid w:val="0"/>
        <w:spacing w:line="578" w:lineRule="exact"/>
        <w:ind w:left="1920" w:hangingChars="600" w:hanging="1920"/>
        <w:rPr>
          <w:rFonts w:ascii="方正仿宋_GBK" w:eastAsia="方正仿宋_GBK" w:hAnsi="Times New Roman"/>
          <w:kern w:val="0"/>
          <w:szCs w:val="32"/>
        </w:rPr>
      </w:pPr>
      <w:r>
        <w:rPr>
          <w:rFonts w:ascii="方正仿宋_GBK" w:eastAsia="方正仿宋_GBK" w:hAnsi="Times New Roman" w:hint="eastAsia"/>
          <w:noProof/>
          <w:kern w:val="0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248920</wp:posOffset>
            </wp:positionV>
            <wp:extent cx="4215765" cy="2557145"/>
            <wp:effectExtent l="0" t="0" r="5715" b="317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int="eastAsia"/>
          <w:color w:val="000000" w:themeColor="text1"/>
          <w:sz w:val="24"/>
          <w:szCs w:val="24"/>
        </w:rPr>
        <w:t xml:space="preserve">      </w:t>
      </w:r>
    </w:p>
    <w:p w:rsidR="009D4638" w:rsidRDefault="009D4638">
      <w:pPr>
        <w:widowControl/>
        <w:adjustRightInd w:val="0"/>
        <w:snapToGrid w:val="0"/>
        <w:spacing w:line="578" w:lineRule="exact"/>
        <w:ind w:left="1920" w:hangingChars="600" w:hanging="1920"/>
        <w:rPr>
          <w:rFonts w:ascii="方正仿宋_GBK" w:eastAsia="方正仿宋_GBK" w:hAnsi="Times New Roman"/>
          <w:kern w:val="0"/>
          <w:szCs w:val="32"/>
        </w:rPr>
      </w:pPr>
    </w:p>
    <w:p w:rsidR="009D4638" w:rsidRDefault="005D5169">
      <w:pPr>
        <w:widowControl/>
        <w:adjustRightInd w:val="0"/>
        <w:snapToGrid w:val="0"/>
        <w:spacing w:line="578" w:lineRule="exact"/>
        <w:rPr>
          <w:rFonts w:ascii="方正仿宋_GBK" w:eastAsia="方正仿宋_GBK" w:hAnsi="Times New Roman"/>
          <w:kern w:val="0"/>
          <w:szCs w:val="32"/>
        </w:rPr>
      </w:pPr>
      <w:r>
        <w:rPr>
          <w:rFonts w:ascii="方正仿宋_GBK" w:eastAsia="方正仿宋_GBK" w:hAnsi="Times New Roman" w:hint="eastAsia"/>
          <w:noProof/>
          <w:kern w:val="0"/>
          <w:szCs w:val="32"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-372110</wp:posOffset>
            </wp:positionV>
            <wp:extent cx="4393565" cy="2607310"/>
            <wp:effectExtent l="0" t="0" r="0" b="13970"/>
            <wp:wrapTight wrapText="bothSides">
              <wp:wrapPolygon edited="0">
                <wp:start x="0" y="0"/>
                <wp:lineTo x="0" y="21463"/>
                <wp:lineTo x="21503" y="21463"/>
                <wp:lineTo x="2150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638" w:rsidRDefault="005D5169">
      <w:pPr>
        <w:widowControl/>
        <w:adjustRightInd w:val="0"/>
        <w:snapToGrid w:val="0"/>
        <w:spacing w:line="578" w:lineRule="exact"/>
        <w:rPr>
          <w:rFonts w:ascii="方正仿宋_GBK" w:eastAsia="方正仿宋_GBK" w:hAnsi="Times New Roman"/>
          <w:kern w:val="0"/>
          <w:szCs w:val="32"/>
        </w:rPr>
      </w:pPr>
      <w:r>
        <w:rPr>
          <w:rFonts w:ascii="方正仿宋_GBK" w:eastAsia="方正仿宋_GBK" w:hAnsi="Times New Roman" w:hint="eastAsia"/>
          <w:kern w:val="0"/>
          <w:szCs w:val="32"/>
        </w:rPr>
        <w:t xml:space="preserve">                   </w:t>
      </w:r>
    </w:p>
    <w:p w:rsidR="009D4638" w:rsidRDefault="009D4638">
      <w:pPr>
        <w:widowControl/>
        <w:adjustRightInd w:val="0"/>
        <w:snapToGrid w:val="0"/>
        <w:spacing w:line="578" w:lineRule="exact"/>
        <w:rPr>
          <w:rFonts w:ascii="方正仿宋_GBK" w:eastAsia="方正仿宋_GBK" w:hAnsi="Times New Roman"/>
          <w:kern w:val="0"/>
          <w:szCs w:val="32"/>
        </w:rPr>
      </w:pPr>
    </w:p>
    <w:p w:rsidR="009D4638" w:rsidRDefault="009D4638">
      <w:pPr>
        <w:widowControl/>
        <w:adjustRightInd w:val="0"/>
        <w:snapToGrid w:val="0"/>
        <w:spacing w:line="578" w:lineRule="exact"/>
        <w:rPr>
          <w:rFonts w:ascii="方正仿宋_GBK" w:eastAsia="方正仿宋_GBK" w:hAnsi="Times New Roman"/>
          <w:kern w:val="0"/>
          <w:szCs w:val="32"/>
        </w:rPr>
      </w:pPr>
    </w:p>
    <w:p w:rsidR="009D4638" w:rsidRDefault="009D4638">
      <w:pPr>
        <w:widowControl/>
        <w:adjustRightInd w:val="0"/>
        <w:snapToGrid w:val="0"/>
        <w:spacing w:line="578" w:lineRule="exact"/>
        <w:rPr>
          <w:rFonts w:ascii="方正仿宋_GBK" w:eastAsia="方正仿宋_GBK" w:hAnsi="Times New Roman"/>
          <w:kern w:val="0"/>
          <w:szCs w:val="32"/>
        </w:rPr>
      </w:pPr>
    </w:p>
    <w:p w:rsidR="009D4638" w:rsidRDefault="009D4638">
      <w:pPr>
        <w:widowControl/>
        <w:adjustRightInd w:val="0"/>
        <w:snapToGrid w:val="0"/>
        <w:spacing w:line="578" w:lineRule="exact"/>
        <w:ind w:firstLineChars="500" w:firstLine="1200"/>
        <w:rPr>
          <w:rFonts w:ascii="方正黑体_GBK" w:eastAsia="方正黑体_GBK"/>
          <w:color w:val="000000" w:themeColor="text1"/>
          <w:sz w:val="24"/>
          <w:szCs w:val="24"/>
        </w:rPr>
      </w:pPr>
    </w:p>
    <w:p w:rsidR="009D4638" w:rsidRDefault="009D4638">
      <w:pPr>
        <w:widowControl/>
        <w:adjustRightInd w:val="0"/>
        <w:snapToGrid w:val="0"/>
        <w:spacing w:line="578" w:lineRule="exact"/>
        <w:rPr>
          <w:rFonts w:ascii="方正黑体_GBK" w:eastAsia="方正黑体_GBK"/>
          <w:color w:val="000000" w:themeColor="text1"/>
          <w:sz w:val="24"/>
          <w:szCs w:val="24"/>
        </w:rPr>
      </w:pPr>
    </w:p>
    <w:p w:rsidR="009D4638" w:rsidRDefault="005D5169" w:rsidP="00112421">
      <w:pPr>
        <w:widowControl/>
        <w:adjustRightInd w:val="0"/>
        <w:snapToGrid w:val="0"/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仿宋_GBK" w:eastAsia="方正仿宋_GBK" w:hAnsi="Times New Roman" w:hint="eastAsia"/>
          <w:noProof/>
          <w:kern w:val="0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147955</wp:posOffset>
            </wp:positionV>
            <wp:extent cx="4545965" cy="3132455"/>
            <wp:effectExtent l="0" t="0" r="10795" b="698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96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638" w:rsidRDefault="009D4638">
      <w:pPr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9D4638" w:rsidRDefault="009D4638">
      <w:pPr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9D4638" w:rsidRDefault="009D4638">
      <w:pPr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9D4638" w:rsidRDefault="009D4638">
      <w:pPr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9D4638" w:rsidRDefault="009D4638">
      <w:pPr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9D4638" w:rsidRDefault="009D4638">
      <w:pPr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9D4638" w:rsidRDefault="005D5169">
      <w:pPr>
        <w:spacing w:line="578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 </w:t>
      </w:r>
    </w:p>
    <w:sectPr w:rsidR="009D4638" w:rsidSect="009D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69" w:rsidRDefault="005D5169" w:rsidP="00112421">
      <w:r>
        <w:separator/>
      </w:r>
    </w:p>
  </w:endnote>
  <w:endnote w:type="continuationSeparator" w:id="0">
    <w:p w:rsidR="005D5169" w:rsidRDefault="005D5169" w:rsidP="0011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69" w:rsidRDefault="005D5169" w:rsidP="00112421">
      <w:r>
        <w:separator/>
      </w:r>
    </w:p>
  </w:footnote>
  <w:footnote w:type="continuationSeparator" w:id="0">
    <w:p w:rsidR="005D5169" w:rsidRDefault="005D5169" w:rsidP="00112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310F"/>
    <w:multiLevelType w:val="multilevel"/>
    <w:tmpl w:val="5B70310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RkZmNhMTEzMmM3Y2VmOTNmYTFiYWU5ODEzODk4YzIifQ=="/>
  </w:docVars>
  <w:rsids>
    <w:rsidRoot w:val="00421522"/>
    <w:rsid w:val="00074F7E"/>
    <w:rsid w:val="000D086E"/>
    <w:rsid w:val="00112421"/>
    <w:rsid w:val="001B116F"/>
    <w:rsid w:val="001C4D7D"/>
    <w:rsid w:val="00243C6E"/>
    <w:rsid w:val="002C6593"/>
    <w:rsid w:val="00421522"/>
    <w:rsid w:val="004B77E5"/>
    <w:rsid w:val="005244FC"/>
    <w:rsid w:val="005A2BD3"/>
    <w:rsid w:val="005A613C"/>
    <w:rsid w:val="005D5169"/>
    <w:rsid w:val="00684D24"/>
    <w:rsid w:val="00892D40"/>
    <w:rsid w:val="008C63C0"/>
    <w:rsid w:val="00972287"/>
    <w:rsid w:val="00974105"/>
    <w:rsid w:val="009C6A23"/>
    <w:rsid w:val="009D4638"/>
    <w:rsid w:val="00C12760"/>
    <w:rsid w:val="00C654E0"/>
    <w:rsid w:val="00CC7C25"/>
    <w:rsid w:val="00CF1885"/>
    <w:rsid w:val="00E911EF"/>
    <w:rsid w:val="00FD723E"/>
    <w:rsid w:val="0B484125"/>
    <w:rsid w:val="0B554854"/>
    <w:rsid w:val="0D993E8E"/>
    <w:rsid w:val="105B114E"/>
    <w:rsid w:val="131B6383"/>
    <w:rsid w:val="19DD15FD"/>
    <w:rsid w:val="2549584E"/>
    <w:rsid w:val="2CC13CE2"/>
    <w:rsid w:val="3238702E"/>
    <w:rsid w:val="3D287941"/>
    <w:rsid w:val="3F197EE0"/>
    <w:rsid w:val="45A94723"/>
    <w:rsid w:val="4B7E4A4A"/>
    <w:rsid w:val="4B857822"/>
    <w:rsid w:val="4D3C7AEF"/>
    <w:rsid w:val="5737273B"/>
    <w:rsid w:val="689618A9"/>
    <w:rsid w:val="6B6A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38"/>
    <w:pPr>
      <w:widowControl w:val="0"/>
      <w:jc w:val="both"/>
    </w:pPr>
    <w:rPr>
      <w:rFonts w:ascii="Calibri" w:eastAsia="宋体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D4638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9D46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D463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D463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12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1242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12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1242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2024-06-28T08:38:00Z</dcterms:created>
  <dcterms:modified xsi:type="dcterms:W3CDTF">2024-06-28T08:38:00Z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E4E2F90E9F0A4F618C56331428BADD9D_12</vt:lpwstr>
  </property>
</Properties>
</file>